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DC" w:rsidRPr="004A4B20" w:rsidRDefault="00B139DC" w:rsidP="00B139DC">
      <w:pPr>
        <w:pStyle w:val="Nincstrkz"/>
        <w:ind w:left="7080" w:firstLine="708"/>
        <w:rPr>
          <w:rFonts w:ascii="DINPro-Regular" w:hAnsi="DINPro-Regular" w:cs="DIN Pro Regular"/>
          <w:sz w:val="20"/>
          <w:szCs w:val="20"/>
        </w:rPr>
      </w:pPr>
      <w:bookmarkStart w:id="0" w:name="_GoBack"/>
      <w:bookmarkEnd w:id="0"/>
      <w:r w:rsidRPr="004A4B20">
        <w:rPr>
          <w:rFonts w:ascii="DINPro-Regular" w:hAnsi="DINPro-Regular" w:cs="DIN Pro Regular"/>
          <w:sz w:val="20"/>
          <w:szCs w:val="20"/>
        </w:rPr>
        <w:t>4. sz. melléklet</w:t>
      </w:r>
    </w:p>
    <w:p w:rsidR="00B139DC" w:rsidRPr="00B139DC" w:rsidRDefault="00B139DC" w:rsidP="00B139DC">
      <w:pPr>
        <w:pStyle w:val="Nincstrkz"/>
        <w:jc w:val="both"/>
        <w:rPr>
          <w:rFonts w:ascii="DINPro-Regular" w:hAnsi="DINPro-Regular" w:cs="DIN Pro Regular"/>
          <w:sz w:val="20"/>
          <w:szCs w:val="20"/>
        </w:rPr>
      </w:pPr>
    </w:p>
    <w:p w:rsidR="00B139DC" w:rsidRPr="00B139DC" w:rsidRDefault="00B139DC" w:rsidP="00B139DC">
      <w:pPr>
        <w:pStyle w:val="Nincstrkz"/>
        <w:jc w:val="both"/>
        <w:rPr>
          <w:rFonts w:ascii="DINPro-Regular" w:hAnsi="DINPro-Regular" w:cs="DIN Pro Regular"/>
          <w:sz w:val="20"/>
          <w:szCs w:val="20"/>
          <w:u w:val="single"/>
        </w:rPr>
      </w:pPr>
    </w:p>
    <w:p w:rsidR="00B139DC" w:rsidRPr="004A4B20" w:rsidRDefault="00B139DC" w:rsidP="00B139DC">
      <w:pPr>
        <w:pStyle w:val="Nincstrkz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4A4B20">
        <w:rPr>
          <w:rFonts w:ascii="DINPro-Regular" w:hAnsi="DINPro-Regular" w:cs="DIN Pro Regular"/>
          <w:b/>
          <w:sz w:val="20"/>
          <w:szCs w:val="20"/>
          <w:u w:val="single"/>
        </w:rPr>
        <w:t>Fogalom meghatározások</w:t>
      </w:r>
    </w:p>
    <w:p w:rsidR="00B139DC" w:rsidRPr="004A4B20" w:rsidRDefault="00B139DC" w:rsidP="00B139DC">
      <w:pPr>
        <w:pStyle w:val="Nincstrkz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proofErr w:type="gramStart"/>
      <w:r w:rsidRPr="004A4B20">
        <w:rPr>
          <w:rFonts w:ascii="DINPro-Regular" w:hAnsi="DINPro-Regular" w:cs="DIN Pro Regular"/>
          <w:b/>
          <w:sz w:val="20"/>
          <w:szCs w:val="20"/>
          <w:u w:val="single"/>
        </w:rPr>
        <w:t>az</w:t>
      </w:r>
      <w:proofErr w:type="gramEnd"/>
      <w:r w:rsidRPr="004A4B20">
        <w:rPr>
          <w:rFonts w:ascii="DINPro-Regular" w:hAnsi="DINPro-Regular" w:cs="DIN Pro Regular"/>
          <w:b/>
          <w:sz w:val="20"/>
          <w:szCs w:val="20"/>
          <w:u w:val="single"/>
        </w:rPr>
        <w:t xml:space="preserve"> épület-ingatlan-földterület jellegű leltárellenőrzés során alkalmazandó besorolásokhoz:</w:t>
      </w:r>
    </w:p>
    <w:p w:rsidR="00B139DC" w:rsidRPr="004A4B20" w:rsidRDefault="00B139DC" w:rsidP="00B139DC">
      <w:pPr>
        <w:pStyle w:val="Nincstrkz"/>
        <w:jc w:val="center"/>
        <w:rPr>
          <w:rFonts w:ascii="DINPro-Regular" w:hAnsi="DINPro-Regular" w:cs="DIN Pro Regular"/>
          <w:b/>
          <w:i/>
          <w:sz w:val="20"/>
          <w:szCs w:val="20"/>
          <w:u w:val="single"/>
        </w:rPr>
      </w:pPr>
    </w:p>
    <w:p w:rsidR="00B139DC" w:rsidRDefault="00B139DC" w:rsidP="00B139DC">
      <w:pPr>
        <w:pStyle w:val="Nincstrkz"/>
        <w:jc w:val="center"/>
        <w:rPr>
          <w:rFonts w:ascii="DINPro-Regular" w:hAnsi="DINPro-Regular" w:cs="DIN Pro Regular"/>
          <w:b/>
          <w:i/>
          <w:sz w:val="20"/>
          <w:szCs w:val="20"/>
          <w:u w:val="single"/>
        </w:rPr>
      </w:pPr>
    </w:p>
    <w:p w:rsidR="00B139DC" w:rsidRDefault="00B139DC" w:rsidP="00B139DC">
      <w:pPr>
        <w:pStyle w:val="Nincstrkz"/>
        <w:jc w:val="center"/>
        <w:rPr>
          <w:rFonts w:ascii="DINPro-Regular" w:hAnsi="DINPro-Regular" w:cs="DIN Pro Regular"/>
          <w:b/>
          <w:i/>
          <w:sz w:val="20"/>
          <w:szCs w:val="20"/>
          <w:u w:val="single"/>
        </w:rPr>
      </w:pPr>
    </w:p>
    <w:p w:rsidR="00B139DC" w:rsidRPr="004A4B20" w:rsidRDefault="00B139DC" w:rsidP="00B139DC">
      <w:pPr>
        <w:pStyle w:val="Nincstrkz"/>
        <w:jc w:val="center"/>
        <w:rPr>
          <w:rFonts w:ascii="DINPro-Regular" w:hAnsi="DINPro-Regular" w:cs="DIN Pro Regular"/>
          <w:b/>
          <w:i/>
          <w:sz w:val="20"/>
          <w:szCs w:val="20"/>
          <w:u w:val="single"/>
        </w:rPr>
      </w:pPr>
    </w:p>
    <w:p w:rsidR="00B139DC" w:rsidRDefault="00B139DC" w:rsidP="00B139DC">
      <w:pPr>
        <w:pStyle w:val="Nincstrkz"/>
        <w:numPr>
          <w:ilvl w:val="0"/>
          <w:numId w:val="1"/>
        </w:numPr>
        <w:jc w:val="both"/>
        <w:rPr>
          <w:rFonts w:ascii="DINPro-Regular" w:hAnsi="DINPro-Regular" w:cs="DIN Pro Regular"/>
          <w:b/>
          <w:sz w:val="20"/>
          <w:szCs w:val="20"/>
        </w:rPr>
      </w:pPr>
      <w:r w:rsidRPr="004A4B20">
        <w:rPr>
          <w:rFonts w:ascii="DINPro-Regular" w:hAnsi="DINPro-Regular" w:cs="DIN Pro Regular"/>
          <w:b/>
          <w:sz w:val="20"/>
          <w:szCs w:val="20"/>
        </w:rPr>
        <w:t>földrészletek (termőföldek, telkek)</w:t>
      </w:r>
    </w:p>
    <w:p w:rsidR="00B139DC" w:rsidRPr="004A4B20" w:rsidRDefault="00B139DC" w:rsidP="00B139DC">
      <w:pPr>
        <w:pStyle w:val="Nincstrkz"/>
        <w:ind w:left="1080"/>
        <w:jc w:val="both"/>
        <w:rPr>
          <w:rFonts w:ascii="DINPro-Regular" w:hAnsi="DINPro-Regular" w:cs="DIN Pro Regular"/>
          <w:b/>
          <w:sz w:val="20"/>
          <w:szCs w:val="20"/>
        </w:rPr>
      </w:pPr>
    </w:p>
    <w:p w:rsidR="00B139DC" w:rsidRPr="004A4B20" w:rsidRDefault="00B139DC" w:rsidP="00B139DC">
      <w:pPr>
        <w:pStyle w:val="NormlWeb"/>
        <w:spacing w:before="0" w:beforeAutospacing="0" w:after="20" w:afterAutospacing="0"/>
        <w:ind w:left="1080"/>
        <w:jc w:val="both"/>
        <w:rPr>
          <w:rFonts w:ascii="DINPro-Regular" w:hAnsi="DINPro-Regular" w:cs="DIN Pro Regular"/>
          <w:i/>
          <w:color w:val="000000"/>
          <w:sz w:val="20"/>
          <w:szCs w:val="20"/>
        </w:rPr>
      </w:pPr>
      <w:r w:rsidRPr="004A4B20">
        <w:rPr>
          <w:rFonts w:ascii="DINPro-Regular" w:hAnsi="DINPro-Regular" w:cs="DIN Pro Regular"/>
          <w:b/>
          <w:bCs/>
          <w:i/>
          <w:color w:val="000000"/>
          <w:sz w:val="20"/>
          <w:szCs w:val="20"/>
        </w:rPr>
        <w:t>„</w:t>
      </w:r>
      <w:r w:rsidRPr="004A4B20">
        <w:rPr>
          <w:rFonts w:ascii="DINPro-Regular" w:hAnsi="DINPro-Regular" w:cs="DIN Pro Regular"/>
          <w:bCs/>
          <w:i/>
          <w:color w:val="000000"/>
          <w:sz w:val="20"/>
          <w:szCs w:val="20"/>
        </w:rPr>
        <w:t>11. §</w:t>
      </w:r>
      <w:r w:rsidRPr="004A4B20">
        <w:rPr>
          <w:rFonts w:ascii="DINPro-Regular" w:hAnsi="DINPro-Regular" w:cs="DIN Pro Regular"/>
          <w:i/>
          <w:color w:val="000000"/>
          <w:sz w:val="20"/>
          <w:szCs w:val="20"/>
        </w:rPr>
        <w:t> (1) Az ingatlan-nyilvántartásban földrészlet:</w:t>
      </w:r>
    </w:p>
    <w:p w:rsidR="00B139DC" w:rsidRPr="004A4B20" w:rsidRDefault="00B139DC" w:rsidP="00B139DC">
      <w:pPr>
        <w:pStyle w:val="NormlWeb"/>
        <w:spacing w:before="0" w:beforeAutospacing="0" w:after="20" w:afterAutospacing="0"/>
        <w:ind w:left="1080"/>
        <w:jc w:val="both"/>
        <w:rPr>
          <w:rFonts w:ascii="DINPro-Regular" w:hAnsi="DINPro-Regular" w:cs="DIN Pro Regular"/>
          <w:i/>
          <w:color w:val="000000"/>
          <w:sz w:val="20"/>
          <w:szCs w:val="20"/>
        </w:rPr>
      </w:pPr>
      <w:proofErr w:type="gramStart"/>
      <w:r w:rsidRPr="004A4B20">
        <w:rPr>
          <w:rFonts w:ascii="DINPro-Regular" w:hAnsi="DINPro-Regular" w:cs="DIN Pro Regular"/>
          <w:i/>
          <w:iCs/>
          <w:color w:val="000000"/>
          <w:sz w:val="20"/>
          <w:szCs w:val="20"/>
        </w:rPr>
        <w:t>a</w:t>
      </w:r>
      <w:proofErr w:type="gramEnd"/>
      <w:r w:rsidRPr="004A4B20">
        <w:rPr>
          <w:rFonts w:ascii="DINPro-Regular" w:hAnsi="DINPro-Regular" w:cs="DIN Pro Regular"/>
          <w:i/>
          <w:iCs/>
          <w:color w:val="000000"/>
          <w:sz w:val="20"/>
          <w:szCs w:val="20"/>
        </w:rPr>
        <w:t>)</w:t>
      </w:r>
      <w:r w:rsidRPr="004A4B20">
        <w:rPr>
          <w:rFonts w:ascii="DINPro-Regular" w:hAnsi="DINPro-Regular" w:cs="DIN Pro Regular"/>
          <w:i/>
          <w:color w:val="000000"/>
          <w:sz w:val="20"/>
          <w:szCs w:val="20"/>
        </w:rPr>
        <w:t> a föld felszínének természetben összefüggő, közigazgatási vagy belterületi határ által meg nem szakított területe, amelynek minden részén azonosak a tulajdoni vagy a vagyonkezelői (kezelési) viszonyok,</w:t>
      </w:r>
    </w:p>
    <w:p w:rsidR="00B139DC" w:rsidRPr="004A4B20" w:rsidRDefault="00B139DC" w:rsidP="00B139DC">
      <w:pPr>
        <w:pStyle w:val="NormlWeb"/>
        <w:spacing w:before="0" w:beforeAutospacing="0" w:after="20" w:afterAutospacing="0"/>
        <w:ind w:left="1080"/>
        <w:jc w:val="both"/>
        <w:rPr>
          <w:rFonts w:ascii="DINPro-Regular" w:hAnsi="DINPro-Regular" w:cs="DIN Pro Regular"/>
          <w:i/>
          <w:color w:val="000000"/>
          <w:sz w:val="20"/>
          <w:szCs w:val="20"/>
        </w:rPr>
      </w:pPr>
      <w:r w:rsidRPr="004A4B20">
        <w:rPr>
          <w:rFonts w:ascii="DINPro-Regular" w:hAnsi="DINPro-Regular" w:cs="DIN Pro Regular"/>
          <w:i/>
          <w:iCs/>
          <w:color w:val="000000"/>
          <w:sz w:val="20"/>
          <w:szCs w:val="20"/>
        </w:rPr>
        <w:t>b)</w:t>
      </w:r>
      <w:r w:rsidRPr="004A4B20">
        <w:rPr>
          <w:rFonts w:ascii="DINPro-Regular" w:hAnsi="DINPro-Regular" w:cs="DIN Pro Regular"/>
          <w:i/>
          <w:color w:val="000000"/>
          <w:sz w:val="20"/>
          <w:szCs w:val="20"/>
        </w:rPr>
        <w:t> a kialakított építési telek a tulajdoni és vagyonkezelői viszonyoktól függetlenül,</w:t>
      </w:r>
    </w:p>
    <w:p w:rsidR="00B139DC" w:rsidRPr="004A4B20" w:rsidRDefault="00B139DC" w:rsidP="00B139DC">
      <w:pPr>
        <w:pStyle w:val="NormlWeb"/>
        <w:spacing w:before="0" w:beforeAutospacing="0" w:after="20" w:afterAutospacing="0"/>
        <w:ind w:left="1080"/>
        <w:jc w:val="both"/>
        <w:rPr>
          <w:rFonts w:ascii="DINPro-Regular" w:hAnsi="DINPro-Regular" w:cs="DIN Pro Regular"/>
          <w:i/>
          <w:color w:val="000000"/>
          <w:sz w:val="20"/>
          <w:szCs w:val="20"/>
        </w:rPr>
      </w:pPr>
      <w:r w:rsidRPr="004A4B20">
        <w:rPr>
          <w:rFonts w:ascii="DINPro-Regular" w:hAnsi="DINPro-Regular" w:cs="DIN Pro Regular"/>
          <w:i/>
          <w:iCs/>
          <w:color w:val="000000"/>
          <w:sz w:val="20"/>
          <w:szCs w:val="20"/>
        </w:rPr>
        <w:t>c)</w:t>
      </w:r>
      <w:r w:rsidRPr="004A4B20">
        <w:rPr>
          <w:rFonts w:ascii="DINPro-Regular" w:hAnsi="DINPro-Regular" w:cs="DIN Pro Regular"/>
          <w:i/>
          <w:color w:val="000000"/>
          <w:sz w:val="20"/>
          <w:szCs w:val="20"/>
        </w:rPr>
        <w:t> az utak, terek, vasutak, csatornák elágazással és kereszteződéssel, valamint közigazgatási vagy belterületi határ által – az országos közút, vasút vagy hajózható csatorna kivételével – meg nem szakított részei, amelyek tulajdonosa vagy vagyonkezelője (kezelője) azonos.”</w:t>
      </w:r>
    </w:p>
    <w:p w:rsidR="00B139DC" w:rsidRPr="004A4B20" w:rsidRDefault="00B139DC" w:rsidP="00B139DC">
      <w:pPr>
        <w:pStyle w:val="NormlWeb"/>
        <w:spacing w:before="0" w:beforeAutospacing="0" w:after="20" w:afterAutospacing="0"/>
        <w:ind w:left="1080"/>
        <w:jc w:val="both"/>
        <w:rPr>
          <w:rFonts w:ascii="DINPro-Regular" w:hAnsi="DINPro-Regular" w:cs="DIN Pro Regular"/>
          <w:i/>
          <w:color w:val="000000"/>
          <w:sz w:val="20"/>
          <w:szCs w:val="20"/>
        </w:rPr>
      </w:pPr>
      <w:r w:rsidRPr="004A4B20">
        <w:rPr>
          <w:rFonts w:ascii="DINPro-Regular" w:hAnsi="DINPro-Regular" w:cs="DIN Pro Regular"/>
          <w:i/>
          <w:color w:val="000000"/>
          <w:sz w:val="20"/>
          <w:szCs w:val="20"/>
        </w:rPr>
        <w:t>(Forrás: 1997.évi CXLI. tv. 11.§ (1) bekezd.)</w:t>
      </w:r>
    </w:p>
    <w:p w:rsidR="00B139DC" w:rsidRPr="004A4B20" w:rsidRDefault="00B139DC" w:rsidP="00B139DC">
      <w:pPr>
        <w:pStyle w:val="NormlWeb"/>
        <w:spacing w:before="0" w:beforeAutospacing="0" w:after="20" w:afterAutospacing="0"/>
        <w:ind w:left="1080"/>
        <w:jc w:val="both"/>
        <w:rPr>
          <w:rFonts w:ascii="DINPro-Regular" w:hAnsi="DINPro-Regular" w:cs="DIN Pro Regular"/>
          <w:i/>
          <w:color w:val="222222"/>
          <w:sz w:val="20"/>
          <w:szCs w:val="20"/>
          <w:shd w:val="clear" w:color="auto" w:fill="FFFFFF"/>
        </w:rPr>
      </w:pPr>
      <w:r w:rsidRPr="004A4B20">
        <w:rPr>
          <w:rStyle w:val="Kiemels2"/>
          <w:rFonts w:ascii="DINPro-Regular" w:hAnsi="DINPro-Regular" w:cs="DIN Pro Regular"/>
          <w:i/>
          <w:color w:val="222222"/>
          <w:sz w:val="20"/>
          <w:szCs w:val="20"/>
          <w:bdr w:val="none" w:sz="0" w:space="0" w:color="auto" w:frame="1"/>
          <w:shd w:val="clear" w:color="auto" w:fill="FFFFFF"/>
        </w:rPr>
        <w:t>(„termőföld:</w:t>
      </w:r>
      <w:r w:rsidRPr="004A4B20">
        <w:rPr>
          <w:rFonts w:ascii="DINPro-Regular" w:hAnsi="DINPro-Regular" w:cs="DIN Pro Regular"/>
          <w:i/>
          <w:color w:val="222222"/>
          <w:sz w:val="20"/>
          <w:szCs w:val="20"/>
          <w:shd w:val="clear" w:color="auto" w:fill="FFFFFF"/>
        </w:rPr>
        <w:t> </w:t>
      </w:r>
      <w:r w:rsidRPr="004A4B20">
        <w:rPr>
          <w:rFonts w:ascii="DINPro-Regular" w:hAnsi="DINPro-Regular" w:cs="DIN Pro Regular"/>
          <w:i/>
          <w:color w:val="000000"/>
          <w:sz w:val="20"/>
          <w:szCs w:val="20"/>
        </w:rPr>
        <w:t xml:space="preserve">az a földrészlet, amely a település külterületén fekszik, és az ingatlan-nyilvántartásban szántó, szőlő, gyümölcsös, kert, rét, legelő (gyep), nádas vagy fásított terület művelési ágban van nyilvántartva, kivéve, ha a földrészlet az </w:t>
      </w:r>
      <w:proofErr w:type="spellStart"/>
      <w:r w:rsidRPr="004A4B20">
        <w:rPr>
          <w:rFonts w:ascii="DINPro-Regular" w:hAnsi="DINPro-Regular" w:cs="DIN Pro Regular"/>
          <w:i/>
          <w:color w:val="000000"/>
          <w:sz w:val="20"/>
          <w:szCs w:val="20"/>
        </w:rPr>
        <w:t>Evt.-ben</w:t>
      </w:r>
      <w:proofErr w:type="spellEnd"/>
      <w:r w:rsidRPr="004A4B20">
        <w:rPr>
          <w:rFonts w:ascii="DINPro-Regular" w:hAnsi="DINPro-Regular" w:cs="DIN Pro Regular"/>
          <w:i/>
          <w:color w:val="000000"/>
          <w:sz w:val="20"/>
          <w:szCs w:val="20"/>
        </w:rPr>
        <w:t xml:space="preserve"> meghatározott erdőnek minősül;</w:t>
      </w:r>
    </w:p>
    <w:p w:rsidR="00B139DC" w:rsidRPr="004A4B20" w:rsidRDefault="00B139DC" w:rsidP="00B139DC">
      <w:pPr>
        <w:pStyle w:val="NormlWeb"/>
        <w:spacing w:before="0" w:beforeAutospacing="0" w:after="20" w:afterAutospacing="0"/>
        <w:ind w:left="372" w:firstLine="708"/>
        <w:jc w:val="both"/>
        <w:rPr>
          <w:rFonts w:ascii="DINPro-Regular" w:hAnsi="DINPro-Regular" w:cs="DIN Pro Regular"/>
          <w:i/>
          <w:color w:val="222222"/>
          <w:sz w:val="20"/>
          <w:szCs w:val="20"/>
          <w:shd w:val="clear" w:color="auto" w:fill="FFFFFF"/>
        </w:rPr>
      </w:pPr>
      <w:r w:rsidRPr="004A4B20">
        <w:rPr>
          <w:rFonts w:ascii="DINPro-Regular" w:hAnsi="DINPro-Regular" w:cs="DIN Pro Regular"/>
          <w:i/>
          <w:color w:val="222222"/>
          <w:sz w:val="20"/>
          <w:szCs w:val="20"/>
          <w:shd w:val="clear" w:color="auto" w:fill="FFFFFF"/>
        </w:rPr>
        <w:t xml:space="preserve">(Forrás: 2007. évi CXXIX. tv. 2.§ 19. pont) </w:t>
      </w:r>
    </w:p>
    <w:p w:rsidR="00B139DC" w:rsidRDefault="0093408C" w:rsidP="00B139DC">
      <w:pPr>
        <w:pStyle w:val="NormlWeb"/>
        <w:spacing w:before="0" w:beforeAutospacing="0" w:after="20" w:afterAutospacing="0"/>
        <w:ind w:left="1080"/>
        <w:jc w:val="both"/>
        <w:rPr>
          <w:rFonts w:ascii="DINPro-Regular" w:hAnsi="DINPro-Regular" w:cs="DIN Pro Regular"/>
          <w:i/>
          <w:color w:val="222222"/>
          <w:sz w:val="20"/>
          <w:szCs w:val="20"/>
          <w:shd w:val="clear" w:color="auto" w:fill="FFFFFF"/>
        </w:rPr>
      </w:pPr>
      <w:r>
        <w:rPr>
          <w:rFonts w:ascii="DINPro-Regular" w:hAnsi="DINPro-Regular" w:cs="DIN Pro Regular"/>
          <w:b/>
          <w:i/>
          <w:color w:val="222222"/>
          <w:sz w:val="20"/>
          <w:szCs w:val="20"/>
          <w:shd w:val="clear" w:color="auto" w:fill="FFFFFF"/>
        </w:rPr>
        <w:t>t</w:t>
      </w:r>
      <w:r w:rsidR="00B139DC" w:rsidRPr="0093408C">
        <w:rPr>
          <w:rFonts w:ascii="DINPro-Regular" w:hAnsi="DINPro-Regular" w:cs="DIN Pro Regular"/>
          <w:b/>
          <w:i/>
          <w:color w:val="222222"/>
          <w:sz w:val="20"/>
          <w:szCs w:val="20"/>
          <w:shd w:val="clear" w:color="auto" w:fill="FFFFFF"/>
        </w:rPr>
        <w:t>elek</w:t>
      </w:r>
      <w:r w:rsidR="00B139DC" w:rsidRPr="004A4B20">
        <w:rPr>
          <w:rFonts w:ascii="DINPro-Regular" w:hAnsi="DINPro-Regular" w:cs="DIN Pro Regular"/>
          <w:i/>
          <w:color w:val="222222"/>
          <w:sz w:val="20"/>
          <w:szCs w:val="20"/>
          <w:shd w:val="clear" w:color="auto" w:fill="FFFFFF"/>
        </w:rPr>
        <w:t>: termőföldnek nem minősülő földrészlet)</w:t>
      </w:r>
    </w:p>
    <w:p w:rsidR="00B139DC" w:rsidRPr="004A4B20" w:rsidRDefault="00B139DC" w:rsidP="00B139DC">
      <w:pPr>
        <w:pStyle w:val="NormlWeb"/>
        <w:spacing w:before="0" w:beforeAutospacing="0" w:after="20" w:afterAutospacing="0"/>
        <w:ind w:left="1080"/>
        <w:jc w:val="both"/>
        <w:rPr>
          <w:rFonts w:ascii="DINPro-Regular" w:hAnsi="DINPro-Regular" w:cs="DIN Pro Regular"/>
          <w:i/>
          <w:color w:val="222222"/>
          <w:sz w:val="20"/>
          <w:szCs w:val="20"/>
          <w:shd w:val="clear" w:color="auto" w:fill="FFFFFF"/>
        </w:rPr>
      </w:pPr>
    </w:p>
    <w:p w:rsidR="00B139DC" w:rsidRDefault="00B139DC" w:rsidP="00B139DC">
      <w:pPr>
        <w:pStyle w:val="Nincstrkz"/>
        <w:numPr>
          <w:ilvl w:val="0"/>
          <w:numId w:val="1"/>
        </w:numPr>
        <w:jc w:val="both"/>
        <w:rPr>
          <w:rFonts w:ascii="DINPro-Regular" w:hAnsi="DINPro-Regular" w:cs="DIN Pro Regular"/>
          <w:b/>
          <w:sz w:val="20"/>
          <w:szCs w:val="20"/>
        </w:rPr>
      </w:pPr>
      <w:r w:rsidRPr="004A4B20">
        <w:rPr>
          <w:rFonts w:ascii="DINPro-Regular" w:hAnsi="DINPro-Regular" w:cs="DIN Pro Regular"/>
          <w:b/>
          <w:sz w:val="20"/>
          <w:szCs w:val="20"/>
        </w:rPr>
        <w:t>épületek</w:t>
      </w:r>
    </w:p>
    <w:p w:rsidR="00B139DC" w:rsidRPr="004A4B20" w:rsidRDefault="00B139DC" w:rsidP="00B139DC">
      <w:pPr>
        <w:pStyle w:val="Nincstrkz"/>
        <w:ind w:left="1080"/>
        <w:jc w:val="both"/>
        <w:rPr>
          <w:rFonts w:ascii="DINPro-Regular" w:hAnsi="DINPro-Regular" w:cs="DIN Pro Regular"/>
          <w:b/>
          <w:sz w:val="20"/>
          <w:szCs w:val="20"/>
        </w:rPr>
      </w:pPr>
    </w:p>
    <w:p w:rsidR="00B139DC" w:rsidRPr="004A4B20" w:rsidRDefault="00B139DC" w:rsidP="00B139DC">
      <w:pPr>
        <w:pStyle w:val="Nincstrkz"/>
        <w:ind w:left="1080"/>
        <w:jc w:val="both"/>
        <w:rPr>
          <w:rFonts w:ascii="DINPro-Regular" w:hAnsi="DINPro-Regular" w:cs="DIN Pro Regular"/>
          <w:i/>
          <w:color w:val="474747"/>
          <w:sz w:val="20"/>
          <w:szCs w:val="20"/>
          <w:shd w:val="clear" w:color="auto" w:fill="FFFFFF"/>
        </w:rPr>
      </w:pPr>
      <w:r w:rsidRPr="004A4B20">
        <w:rPr>
          <w:rFonts w:ascii="DINPro-Regular" w:hAnsi="DINPro-Regular" w:cs="DIN Pro Regular"/>
          <w:i/>
          <w:iCs/>
          <w:color w:val="474747"/>
          <w:sz w:val="20"/>
          <w:szCs w:val="20"/>
          <w:shd w:val="clear" w:color="auto" w:fill="FFFFFF"/>
        </w:rPr>
        <w:t>„Épület: </w:t>
      </w:r>
      <w:r w:rsidRPr="004A4B20">
        <w:rPr>
          <w:rFonts w:ascii="DINPro-Regular" w:hAnsi="DINPro-Regular" w:cs="DIN Pro Regular"/>
          <w:i/>
          <w:color w:val="474747"/>
          <w:sz w:val="20"/>
          <w:szCs w:val="20"/>
          <w:shd w:val="clear" w:color="auto" w:fill="FFFFFF"/>
        </w:rPr>
        <w:t xml:space="preserve">jellemzően emberi tartózkodás céljára szolgáló építmény, amely szerkezeteivel részben vagy egészben teret, helyiséget vagy ezek együttesét zárja körül meghatározott rendeltetés vagy rendeltetésével összefüggő tevékenység, avagy rendszeres munkavégzés, illetve tárolás céljából.” </w:t>
      </w:r>
    </w:p>
    <w:p w:rsidR="00B139DC" w:rsidRPr="004A4B20" w:rsidRDefault="00B139DC" w:rsidP="00B139DC">
      <w:pPr>
        <w:pStyle w:val="Nincstrkz"/>
        <w:ind w:left="1080"/>
        <w:jc w:val="both"/>
        <w:rPr>
          <w:rFonts w:ascii="DINPro-Regular" w:hAnsi="DINPro-Regular" w:cs="DIN Pro Regular"/>
          <w:i/>
          <w:color w:val="474747"/>
          <w:sz w:val="20"/>
          <w:szCs w:val="20"/>
          <w:shd w:val="clear" w:color="auto" w:fill="FFFFFF"/>
        </w:rPr>
      </w:pPr>
      <w:r w:rsidRPr="004A4B20">
        <w:rPr>
          <w:rFonts w:ascii="DINPro-Regular" w:hAnsi="DINPro-Regular" w:cs="DIN Pro Regular"/>
          <w:i/>
          <w:color w:val="474747"/>
          <w:sz w:val="20"/>
          <w:szCs w:val="20"/>
          <w:shd w:val="clear" w:color="auto" w:fill="FFFFFF"/>
        </w:rPr>
        <w:t>(Forrás: 1997.évi LXXVIII. tv. 2.§ 10</w:t>
      </w:r>
      <w:proofErr w:type="gramStart"/>
      <w:r w:rsidRPr="004A4B20">
        <w:rPr>
          <w:rFonts w:ascii="DINPro-Regular" w:hAnsi="DINPro-Regular" w:cs="DIN Pro Regular"/>
          <w:i/>
          <w:color w:val="474747"/>
          <w:sz w:val="20"/>
          <w:szCs w:val="20"/>
          <w:shd w:val="clear" w:color="auto" w:fill="FFFFFF"/>
        </w:rPr>
        <w:t>.pont</w:t>
      </w:r>
      <w:proofErr w:type="gramEnd"/>
      <w:r w:rsidRPr="004A4B20">
        <w:rPr>
          <w:rFonts w:ascii="DINPro-Regular" w:hAnsi="DINPro-Regular" w:cs="DIN Pro Regular"/>
          <w:i/>
          <w:color w:val="474747"/>
          <w:sz w:val="20"/>
          <w:szCs w:val="20"/>
          <w:shd w:val="clear" w:color="auto" w:fill="FFFFFF"/>
        </w:rPr>
        <w:t>.)</w:t>
      </w:r>
    </w:p>
    <w:p w:rsidR="00B139DC" w:rsidRPr="004A4B20" w:rsidRDefault="00B139DC" w:rsidP="00B139DC">
      <w:pPr>
        <w:autoSpaceDE w:val="0"/>
        <w:autoSpaceDN w:val="0"/>
        <w:adjustRightInd w:val="0"/>
        <w:ind w:left="1080"/>
        <w:jc w:val="both"/>
        <w:rPr>
          <w:rFonts w:ascii="DINPro-Regular" w:hAnsi="DINPro-Regular" w:cs="DIN Pro Regular"/>
          <w:i/>
          <w:sz w:val="20"/>
          <w:szCs w:val="20"/>
        </w:rPr>
      </w:pPr>
      <w:r w:rsidRPr="004A4B20">
        <w:rPr>
          <w:rFonts w:ascii="DINPro-Regular" w:hAnsi="DINPro-Regular" w:cs="DIN Pro Regular"/>
          <w:i/>
          <w:iCs/>
          <w:sz w:val="20"/>
          <w:szCs w:val="20"/>
        </w:rPr>
        <w:t xml:space="preserve">„Épületek: </w:t>
      </w:r>
      <w:r w:rsidRPr="004A4B20">
        <w:rPr>
          <w:rFonts w:ascii="DINPro-Regular" w:hAnsi="DINPro-Regular" w:cs="DIN Pro Regular"/>
          <w:i/>
          <w:sz w:val="20"/>
          <w:szCs w:val="20"/>
        </w:rPr>
        <w:t>olyan, tartós használatra készült fedett építmények, amelyek önállóan használhatók, ahová személyek belépése biztosított és emberek, állatok vagy tárgyak megóvására alkalmas vagy ilyen céllal készült.”</w:t>
      </w:r>
    </w:p>
    <w:p w:rsidR="00B139DC" w:rsidRPr="004A4B20" w:rsidRDefault="00B139DC" w:rsidP="00B139DC">
      <w:pPr>
        <w:autoSpaceDE w:val="0"/>
        <w:autoSpaceDN w:val="0"/>
        <w:adjustRightInd w:val="0"/>
        <w:ind w:left="1080"/>
        <w:jc w:val="both"/>
        <w:rPr>
          <w:rFonts w:ascii="DINPro-Regular" w:hAnsi="DINPro-Regular" w:cs="DIN Pro Regular"/>
          <w:i/>
          <w:sz w:val="20"/>
          <w:szCs w:val="20"/>
        </w:rPr>
      </w:pPr>
      <w:r w:rsidRPr="004A4B20">
        <w:rPr>
          <w:rFonts w:ascii="DINPro-Regular" w:hAnsi="DINPro-Regular" w:cs="DIN Pro Regular"/>
          <w:i/>
          <w:sz w:val="20"/>
          <w:szCs w:val="20"/>
        </w:rPr>
        <w:t>(Forrás: 9006/1999. (SK 5.) KSH Közlemény)</w:t>
      </w:r>
    </w:p>
    <w:p w:rsidR="00B139DC" w:rsidRPr="004A4B20" w:rsidRDefault="00B139DC" w:rsidP="00B139DC">
      <w:pPr>
        <w:pStyle w:val="Nincstrkz"/>
        <w:ind w:left="1080"/>
        <w:jc w:val="both"/>
        <w:rPr>
          <w:rFonts w:ascii="DINPro-Regular" w:hAnsi="DINPro-Regular" w:cs="DIN Pro Regular"/>
          <w:i/>
          <w:sz w:val="20"/>
          <w:szCs w:val="20"/>
        </w:rPr>
      </w:pPr>
    </w:p>
    <w:p w:rsidR="00B139DC" w:rsidRDefault="00B139DC" w:rsidP="00B139DC">
      <w:pPr>
        <w:pStyle w:val="Nincstrkz"/>
        <w:numPr>
          <w:ilvl w:val="0"/>
          <w:numId w:val="1"/>
        </w:numPr>
        <w:jc w:val="both"/>
        <w:rPr>
          <w:rFonts w:ascii="DINPro-Regular" w:hAnsi="DINPro-Regular" w:cs="DIN Pro Regular"/>
          <w:b/>
          <w:sz w:val="20"/>
          <w:szCs w:val="20"/>
        </w:rPr>
      </w:pPr>
      <w:r w:rsidRPr="004A4B20">
        <w:rPr>
          <w:rFonts w:ascii="DINPro-Regular" w:hAnsi="DINPro-Regular" w:cs="DIN Pro Regular"/>
          <w:b/>
          <w:sz w:val="20"/>
          <w:szCs w:val="20"/>
        </w:rPr>
        <w:t>építmények</w:t>
      </w:r>
    </w:p>
    <w:p w:rsidR="00B139DC" w:rsidRPr="004A4B20" w:rsidRDefault="00B139DC" w:rsidP="00B139DC">
      <w:pPr>
        <w:pStyle w:val="Nincstrkz"/>
        <w:ind w:left="1080"/>
        <w:jc w:val="both"/>
        <w:rPr>
          <w:rFonts w:ascii="DINPro-Regular" w:hAnsi="DINPro-Regular" w:cs="DIN Pro Regular"/>
          <w:b/>
          <w:sz w:val="20"/>
          <w:szCs w:val="20"/>
        </w:rPr>
      </w:pPr>
    </w:p>
    <w:p w:rsidR="00B139DC" w:rsidRPr="004A4B20" w:rsidRDefault="00B139DC" w:rsidP="00B139DC">
      <w:pPr>
        <w:pStyle w:val="Nincstrkz"/>
        <w:ind w:left="1080"/>
        <w:jc w:val="both"/>
        <w:rPr>
          <w:rFonts w:ascii="DINPro-Regular" w:hAnsi="DINPro-Regular" w:cs="DIN Pro Regular"/>
          <w:i/>
          <w:iCs/>
          <w:color w:val="474747"/>
          <w:sz w:val="20"/>
          <w:szCs w:val="20"/>
          <w:shd w:val="clear" w:color="auto" w:fill="FFFFFF"/>
        </w:rPr>
      </w:pPr>
      <w:proofErr w:type="gramStart"/>
      <w:r w:rsidRPr="004A4B20">
        <w:rPr>
          <w:rFonts w:ascii="DINPro-Regular" w:hAnsi="DINPro-Regular" w:cs="DIN Pro Regular"/>
          <w:i/>
          <w:iCs/>
          <w:color w:val="474747"/>
          <w:sz w:val="20"/>
          <w:szCs w:val="20"/>
          <w:shd w:val="clear" w:color="auto" w:fill="FFFFFF"/>
        </w:rPr>
        <w:t>építmény</w:t>
      </w:r>
      <w:proofErr w:type="gramEnd"/>
      <w:r w:rsidRPr="004A4B20">
        <w:rPr>
          <w:rFonts w:ascii="DINPro-Regular" w:hAnsi="DINPro-Regular" w:cs="DIN Pro Regular"/>
          <w:i/>
          <w:iCs/>
          <w:color w:val="474747"/>
          <w:sz w:val="20"/>
          <w:szCs w:val="20"/>
          <w:shd w:val="clear" w:color="auto" w:fill="FFFFFF"/>
        </w:rPr>
        <w:t xml:space="preserve">=műtárgy; </w:t>
      </w:r>
    </w:p>
    <w:p w:rsidR="00B139DC" w:rsidRPr="004A4B20" w:rsidRDefault="00B139DC" w:rsidP="00B139DC">
      <w:pPr>
        <w:pStyle w:val="Nincstrkz"/>
        <w:ind w:left="1080"/>
        <w:jc w:val="both"/>
        <w:rPr>
          <w:rFonts w:ascii="DINPro-Regular" w:hAnsi="DINPro-Regular" w:cs="DIN Pro Regular"/>
          <w:i/>
          <w:color w:val="474747"/>
          <w:sz w:val="20"/>
          <w:szCs w:val="20"/>
          <w:shd w:val="clear" w:color="auto" w:fill="FFFFFF"/>
        </w:rPr>
      </w:pPr>
      <w:r w:rsidRPr="004A4B20">
        <w:rPr>
          <w:rFonts w:ascii="DINPro-Regular" w:hAnsi="DINPro-Regular" w:cs="DIN Pro Regular"/>
          <w:i/>
          <w:iCs/>
          <w:color w:val="474747"/>
          <w:sz w:val="20"/>
          <w:szCs w:val="20"/>
          <w:shd w:val="clear" w:color="auto" w:fill="FFFFFF"/>
        </w:rPr>
        <w:t>„Műtárgy: </w:t>
      </w:r>
      <w:r w:rsidRPr="004A4B20">
        <w:rPr>
          <w:rFonts w:ascii="DINPro-Regular" w:hAnsi="DINPro-Regular" w:cs="DIN Pro Regular"/>
          <w:i/>
          <w:color w:val="474747"/>
          <w:sz w:val="20"/>
          <w:szCs w:val="20"/>
          <w:shd w:val="clear" w:color="auto" w:fill="FFFFFF"/>
        </w:rPr>
        <w:t>mindazon építmény, ami nem minősül épületnek és épület funkciót jellemzően nem tartalmaz (pl. út, híd, torony, távközlés, műsorszórás műszaki létesítményei, gáz-, folyadék-, ömlesztett anyag tárolására szolgáló és nyomvonalas műszaki alkotások).”</w:t>
      </w:r>
    </w:p>
    <w:p w:rsidR="00B139DC" w:rsidRPr="004A4B20" w:rsidRDefault="00B139DC" w:rsidP="00B139DC">
      <w:pPr>
        <w:pStyle w:val="Nincstrkz"/>
        <w:ind w:left="1080"/>
        <w:jc w:val="both"/>
        <w:rPr>
          <w:rFonts w:ascii="DINPro-Regular" w:hAnsi="DINPro-Regular" w:cs="DIN Pro Regular"/>
          <w:i/>
          <w:sz w:val="20"/>
          <w:szCs w:val="20"/>
        </w:rPr>
      </w:pPr>
      <w:r w:rsidRPr="004A4B20">
        <w:rPr>
          <w:rFonts w:ascii="DINPro-Regular" w:hAnsi="DINPro-Regular" w:cs="DIN Pro Regular"/>
          <w:i/>
          <w:color w:val="474747"/>
          <w:sz w:val="20"/>
          <w:szCs w:val="20"/>
          <w:shd w:val="clear" w:color="auto" w:fill="FFFFFF"/>
        </w:rPr>
        <w:t>(Forrás: 1997. évi LXXVIII. tv. 2. § 15. pont)</w:t>
      </w:r>
    </w:p>
    <w:p w:rsidR="00B139DC" w:rsidRPr="004A4B20" w:rsidRDefault="00B139DC" w:rsidP="00B139DC">
      <w:pPr>
        <w:autoSpaceDE w:val="0"/>
        <w:autoSpaceDN w:val="0"/>
        <w:adjustRightInd w:val="0"/>
        <w:ind w:left="1080"/>
        <w:jc w:val="both"/>
        <w:rPr>
          <w:rFonts w:ascii="DINPro-Regular" w:hAnsi="DINPro-Regular" w:cs="DIN Pro Regular"/>
          <w:i/>
          <w:sz w:val="20"/>
          <w:szCs w:val="20"/>
        </w:rPr>
      </w:pPr>
      <w:r w:rsidRPr="004A4B20">
        <w:rPr>
          <w:rFonts w:ascii="DINPro-Regular" w:hAnsi="DINPro-Regular" w:cs="DIN Pro Regular"/>
          <w:i/>
          <w:sz w:val="20"/>
          <w:szCs w:val="20"/>
        </w:rPr>
        <w:t xml:space="preserve">„8. </w:t>
      </w:r>
      <w:r w:rsidRPr="004A4B20">
        <w:rPr>
          <w:rFonts w:ascii="DINPro-Regular" w:hAnsi="DINPro-Regular" w:cs="DIN Pro Regular"/>
          <w:i/>
          <w:iCs/>
          <w:sz w:val="20"/>
          <w:szCs w:val="20"/>
        </w:rPr>
        <w:t xml:space="preserve">Építmények: </w:t>
      </w:r>
      <w:r w:rsidRPr="004A4B20">
        <w:rPr>
          <w:rFonts w:ascii="DINPro-Regular" w:hAnsi="DINPro-Regular" w:cs="DIN Pro Regular"/>
          <w:i/>
          <w:sz w:val="20"/>
          <w:szCs w:val="20"/>
        </w:rPr>
        <w:t>olyan, a talajjal kapcsolatban álló szerkezetek, amelyeket építőanyagokból és alkatrészekből készítettek, és/vagy amelyen építési munkát végeztek. Ebből a szempontból a termőföld mezőgazdasági célú előkészítése, növények elültetése, vetés stb. nem tekinthető építménynek.”</w:t>
      </w:r>
    </w:p>
    <w:p w:rsidR="00B139DC" w:rsidRPr="004A4B20" w:rsidRDefault="00B139DC" w:rsidP="00B139DC">
      <w:pPr>
        <w:autoSpaceDE w:val="0"/>
        <w:autoSpaceDN w:val="0"/>
        <w:adjustRightInd w:val="0"/>
        <w:ind w:left="1080"/>
        <w:jc w:val="both"/>
        <w:rPr>
          <w:rFonts w:ascii="DINPro-Regular" w:hAnsi="DINPro-Regular" w:cs="DIN Pro Regular"/>
          <w:i/>
          <w:sz w:val="20"/>
          <w:szCs w:val="20"/>
        </w:rPr>
      </w:pPr>
      <w:r w:rsidRPr="004A4B20">
        <w:rPr>
          <w:rFonts w:ascii="DINPro-Regular" w:hAnsi="DINPro-Regular" w:cs="DIN Pro Regular"/>
          <w:i/>
          <w:sz w:val="20"/>
          <w:szCs w:val="20"/>
        </w:rPr>
        <w:t>(Forrás: 9006/1999. (SK 5.) KSH Közlemény)</w:t>
      </w:r>
    </w:p>
    <w:p w:rsidR="00B139DC" w:rsidRPr="004A4B20" w:rsidRDefault="00B139DC" w:rsidP="00B139DC">
      <w:pPr>
        <w:jc w:val="both"/>
        <w:rPr>
          <w:rFonts w:ascii="DINPro-Regular" w:hAnsi="DINPro-Regular" w:cs="DIN Pro Regular"/>
          <w:sz w:val="20"/>
          <w:szCs w:val="20"/>
        </w:rPr>
      </w:pPr>
    </w:p>
    <w:sectPr w:rsidR="00B139DC" w:rsidRPr="004A4B20" w:rsidSect="00710A0C">
      <w:footerReference w:type="default" r:id="rId7"/>
      <w:footerReference w:type="first" r:id="rId8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98" w:rsidRDefault="00676B98">
      <w:r>
        <w:separator/>
      </w:r>
    </w:p>
  </w:endnote>
  <w:endnote w:type="continuationSeparator" w:id="0">
    <w:p w:rsidR="00676B98" w:rsidRDefault="0067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 Pro Regular">
    <w:altName w:val="Arial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35" w:rsidRDefault="0093408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37D0D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0B" w:rsidRDefault="0093408C" w:rsidP="007E2C2C">
    <w:pPr>
      <w:pStyle w:val="llb"/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98" w:rsidRDefault="00676B98">
      <w:r>
        <w:separator/>
      </w:r>
    </w:p>
  </w:footnote>
  <w:footnote w:type="continuationSeparator" w:id="0">
    <w:p w:rsidR="00676B98" w:rsidRDefault="0067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33E4C"/>
    <w:multiLevelType w:val="hybridMultilevel"/>
    <w:tmpl w:val="45D2DF2E"/>
    <w:lvl w:ilvl="0" w:tplc="9484002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DC"/>
    <w:rsid w:val="00365217"/>
    <w:rsid w:val="00537D0D"/>
    <w:rsid w:val="0056599C"/>
    <w:rsid w:val="00676B98"/>
    <w:rsid w:val="0093408C"/>
    <w:rsid w:val="00AF5B49"/>
    <w:rsid w:val="00B1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5E328-4FD6-4268-BFA9-1BC62FBE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139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139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139DC"/>
  </w:style>
  <w:style w:type="character" w:styleId="Kiemels2">
    <w:name w:val="Strong"/>
    <w:uiPriority w:val="22"/>
    <w:qFormat/>
    <w:rsid w:val="00B139DC"/>
    <w:rPr>
      <w:b/>
      <w:bCs/>
    </w:rPr>
  </w:style>
  <w:style w:type="paragraph" w:styleId="Nincstrkz">
    <w:name w:val="No Spacing"/>
    <w:uiPriority w:val="1"/>
    <w:qFormat/>
    <w:rsid w:val="00B139DC"/>
    <w:pPr>
      <w:spacing w:after="0" w:line="240" w:lineRule="auto"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B139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Szabó Noémi</dc:creator>
  <cp:keywords/>
  <dc:description/>
  <cp:lastModifiedBy>Kissné Szabó Noémi</cp:lastModifiedBy>
  <cp:revision>2</cp:revision>
  <dcterms:created xsi:type="dcterms:W3CDTF">2019-04-08T12:40:00Z</dcterms:created>
  <dcterms:modified xsi:type="dcterms:W3CDTF">2019-04-08T12:40:00Z</dcterms:modified>
</cp:coreProperties>
</file>